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0BF" w:rsidRPr="003F7AA6" w:rsidRDefault="00C270BF">
      <w:pPr>
        <w:rPr>
          <w:rFonts w:ascii="Arial" w:eastAsia="Times New Roman" w:hAnsi="Arial" w:cs="Arial"/>
          <w:b/>
          <w:lang w:val="sr-Cyrl-CS"/>
        </w:rPr>
      </w:pPr>
    </w:p>
    <w:p w:rsidR="00C270BF" w:rsidRPr="000B6766" w:rsidRDefault="00FE4F08">
      <w:pPr>
        <w:overflowPunct w:val="0"/>
        <w:autoSpaceDE w:val="0"/>
        <w:autoSpaceDN w:val="0"/>
        <w:adjustRightInd w:val="0"/>
        <w:spacing w:after="0" w:line="276" w:lineRule="auto"/>
        <w:ind w:left="851" w:right="284"/>
        <w:jc w:val="center"/>
        <w:textAlignment w:val="baseline"/>
        <w:rPr>
          <w:rFonts w:ascii="Arial" w:eastAsia="Times New Roman" w:hAnsi="Arial" w:cs="Arial"/>
          <w:b/>
        </w:rPr>
      </w:pPr>
      <w:r w:rsidRPr="000B6766">
        <w:rPr>
          <w:rFonts w:ascii="Arial" w:eastAsia="Times New Roman" w:hAnsi="Arial" w:cs="Arial"/>
          <w:b/>
        </w:rPr>
        <w:t>ПРОЈЕКТНИ ЗАДАТАК</w:t>
      </w:r>
    </w:p>
    <w:p w:rsidR="00C270BF" w:rsidRDefault="00FE4F08">
      <w:pPr>
        <w:overflowPunct w:val="0"/>
        <w:autoSpaceDE w:val="0"/>
        <w:autoSpaceDN w:val="0"/>
        <w:adjustRightInd w:val="0"/>
        <w:spacing w:after="0" w:line="276" w:lineRule="auto"/>
        <w:ind w:right="-143"/>
        <w:jc w:val="center"/>
        <w:textAlignment w:val="baseline"/>
        <w:rPr>
          <w:rFonts w:ascii="Arial" w:eastAsia="Times New Roman" w:hAnsi="Arial" w:cs="Arial"/>
        </w:rPr>
      </w:pPr>
      <w:r w:rsidRPr="000B6766">
        <w:rPr>
          <w:rFonts w:ascii="Arial" w:eastAsia="Times New Roman" w:hAnsi="Arial" w:cs="Arial"/>
        </w:rPr>
        <w:t xml:space="preserve">ЗА ИЗРАДУ ПРОЈЕКТНО ТЕХНИЧКЕ ДОКУМЕНТАЦИЈЕ ЗА  </w:t>
      </w:r>
    </w:p>
    <w:p w:rsidR="000B6766" w:rsidRPr="000B6766" w:rsidRDefault="000B6766">
      <w:pPr>
        <w:overflowPunct w:val="0"/>
        <w:autoSpaceDE w:val="0"/>
        <w:autoSpaceDN w:val="0"/>
        <w:adjustRightInd w:val="0"/>
        <w:spacing w:after="0" w:line="276" w:lineRule="auto"/>
        <w:ind w:right="-143"/>
        <w:jc w:val="center"/>
        <w:textAlignment w:val="baseline"/>
        <w:rPr>
          <w:rFonts w:ascii="Arial" w:eastAsia="Times New Roman" w:hAnsi="Arial" w:cs="Arial"/>
          <w:lang w:val="sr-Cyrl-CS"/>
        </w:rPr>
      </w:pPr>
      <w:r>
        <w:rPr>
          <w:rFonts w:ascii="Arial" w:eastAsia="Times New Roman" w:hAnsi="Arial" w:cs="Arial"/>
          <w:lang w:val="sr-Cyrl-CS"/>
        </w:rPr>
        <w:t>ИЗГРАДЊУ КОМПЛЕКСА ГРАДСКИХ БАЗЕНА И ИНФРАСТРУКТУРЕ</w:t>
      </w:r>
    </w:p>
    <w:p w:rsidR="00C270BF" w:rsidRPr="000B6766" w:rsidRDefault="00C270BF">
      <w:pPr>
        <w:overflowPunct w:val="0"/>
        <w:autoSpaceDE w:val="0"/>
        <w:autoSpaceDN w:val="0"/>
        <w:adjustRightInd w:val="0"/>
        <w:spacing w:after="0" w:line="276" w:lineRule="auto"/>
        <w:ind w:left="851" w:right="284"/>
        <w:jc w:val="both"/>
        <w:textAlignment w:val="baseline"/>
        <w:rPr>
          <w:rFonts w:ascii="Arial" w:eastAsia="Times New Roman" w:hAnsi="Arial" w:cs="Arial"/>
        </w:rPr>
      </w:pPr>
    </w:p>
    <w:p w:rsidR="00C270BF" w:rsidRPr="000B6766" w:rsidRDefault="00FE4F08">
      <w:pPr>
        <w:overflowPunct w:val="0"/>
        <w:autoSpaceDE w:val="0"/>
        <w:autoSpaceDN w:val="0"/>
        <w:adjustRightInd w:val="0"/>
        <w:spacing w:after="240" w:line="276" w:lineRule="auto"/>
        <w:ind w:left="2552" w:right="284" w:hanging="2552"/>
        <w:jc w:val="both"/>
        <w:textAlignment w:val="baseline"/>
        <w:rPr>
          <w:rFonts w:ascii="Arial" w:eastAsia="Times New Roman" w:hAnsi="Arial" w:cs="Arial"/>
        </w:rPr>
      </w:pPr>
      <w:r w:rsidRPr="000B6766">
        <w:rPr>
          <w:rFonts w:ascii="Arial" w:eastAsia="Times New Roman" w:hAnsi="Arial" w:cs="Arial"/>
          <w:b/>
        </w:rPr>
        <w:t>ИНВЕСТИТОР:</w:t>
      </w:r>
      <w:r w:rsidRPr="000B6766">
        <w:rPr>
          <w:rFonts w:ascii="Arial" w:eastAsia="Times New Roman" w:hAnsi="Arial" w:cs="Arial"/>
        </w:rPr>
        <w:tab/>
        <w:t>Општина Кладово</w:t>
      </w:r>
    </w:p>
    <w:p w:rsidR="00C270BF" w:rsidRPr="000B6766" w:rsidRDefault="00FE4F08">
      <w:pPr>
        <w:overflowPunct w:val="0"/>
        <w:autoSpaceDE w:val="0"/>
        <w:autoSpaceDN w:val="0"/>
        <w:adjustRightInd w:val="0"/>
        <w:spacing w:after="240" w:line="276" w:lineRule="auto"/>
        <w:ind w:left="2552" w:right="284" w:hanging="2552"/>
        <w:jc w:val="both"/>
        <w:textAlignment w:val="baseline"/>
        <w:rPr>
          <w:rFonts w:ascii="Arial" w:eastAsia="Times New Roman" w:hAnsi="Arial" w:cs="Arial"/>
          <w:lang w:val="sr-Cyrl-CS"/>
        </w:rPr>
      </w:pPr>
      <w:r w:rsidRPr="000B6766">
        <w:rPr>
          <w:rFonts w:ascii="Arial" w:eastAsia="Times New Roman" w:hAnsi="Arial" w:cs="Arial"/>
          <w:b/>
        </w:rPr>
        <w:t>ЛОКАЦИЈА:</w:t>
      </w:r>
      <w:r w:rsidRPr="000B6766">
        <w:rPr>
          <w:rFonts w:ascii="Arial" w:eastAsia="Times New Roman" w:hAnsi="Arial" w:cs="Arial"/>
        </w:rPr>
        <w:tab/>
      </w:r>
      <w:r w:rsidR="000B6766">
        <w:rPr>
          <w:rFonts w:ascii="Arial" w:eastAsia="Times New Roman" w:hAnsi="Arial" w:cs="Arial"/>
          <w:lang w:val="sr-Cyrl-CS"/>
        </w:rPr>
        <w:t xml:space="preserve">КП БР. 7008 КО Кладово </w:t>
      </w:r>
    </w:p>
    <w:p w:rsidR="00C270BF" w:rsidRPr="000B6766" w:rsidRDefault="00FE4F08">
      <w:pPr>
        <w:overflowPunct w:val="0"/>
        <w:autoSpaceDE w:val="0"/>
        <w:autoSpaceDN w:val="0"/>
        <w:adjustRightInd w:val="0"/>
        <w:spacing w:after="240" w:line="276" w:lineRule="auto"/>
        <w:ind w:left="2552" w:right="284" w:hanging="2552"/>
        <w:jc w:val="both"/>
        <w:textAlignment w:val="baseline"/>
        <w:rPr>
          <w:rFonts w:ascii="Arial" w:eastAsia="Times New Roman" w:hAnsi="Arial" w:cs="Arial"/>
        </w:rPr>
      </w:pPr>
      <w:r w:rsidRPr="000B6766">
        <w:rPr>
          <w:rFonts w:ascii="Arial" w:eastAsia="Times New Roman" w:hAnsi="Arial" w:cs="Arial"/>
          <w:b/>
        </w:rPr>
        <w:t>НАМЕНА:</w:t>
      </w:r>
      <w:r w:rsidRPr="000B6766">
        <w:rPr>
          <w:rFonts w:ascii="Arial" w:eastAsia="Times New Roman" w:hAnsi="Arial" w:cs="Arial"/>
        </w:rPr>
        <w:tab/>
        <w:t>СПОРТСКО РЕКРЕАТИВНИ САДРЖАЈИ</w:t>
      </w:r>
    </w:p>
    <w:p w:rsidR="00C270BF" w:rsidRPr="000B6766" w:rsidRDefault="00FE4F08">
      <w:pPr>
        <w:overflowPunct w:val="0"/>
        <w:autoSpaceDE w:val="0"/>
        <w:autoSpaceDN w:val="0"/>
        <w:adjustRightInd w:val="0"/>
        <w:spacing w:after="240" w:line="276" w:lineRule="auto"/>
        <w:ind w:left="2552" w:right="284" w:hanging="2552"/>
        <w:jc w:val="both"/>
        <w:textAlignment w:val="baseline"/>
        <w:rPr>
          <w:rFonts w:ascii="Arial" w:eastAsia="Times New Roman" w:hAnsi="Arial" w:cs="Arial"/>
          <w:lang w:val="sr-Cyrl-CS"/>
        </w:rPr>
      </w:pPr>
      <w:r w:rsidRPr="000B6766">
        <w:rPr>
          <w:rFonts w:ascii="Arial" w:eastAsia="Times New Roman" w:hAnsi="Arial" w:cs="Arial"/>
          <w:b/>
        </w:rPr>
        <w:t>НАЗИВ ПРОЈЕКТА:</w:t>
      </w:r>
      <w:r w:rsidR="000B6766">
        <w:rPr>
          <w:rFonts w:ascii="Arial" w:eastAsia="Times New Roman" w:hAnsi="Arial" w:cs="Arial"/>
        </w:rPr>
        <w:tab/>
      </w:r>
      <w:r w:rsidR="003F7AA6">
        <w:rPr>
          <w:rFonts w:ascii="Arial" w:eastAsia="Times New Roman" w:hAnsi="Arial" w:cs="Arial"/>
          <w:lang w:val="sr-Cyrl-CS"/>
        </w:rPr>
        <w:t>Пројектно-техничка документација за изградњу Комплекса градских базена (и</w:t>
      </w:r>
      <w:r w:rsidR="000B6766">
        <w:rPr>
          <w:rFonts w:ascii="Arial" w:eastAsia="Times New Roman" w:hAnsi="Arial" w:cs="Arial"/>
          <w:lang w:val="sr-Cyrl-CS"/>
        </w:rPr>
        <w:t>змена и допуна ПГД-а</w:t>
      </w:r>
      <w:r w:rsidR="004A192C">
        <w:rPr>
          <w:rFonts w:ascii="Arial" w:eastAsia="Times New Roman" w:hAnsi="Arial" w:cs="Arial"/>
          <w:lang w:val="sr-Cyrl-CS"/>
        </w:rPr>
        <w:t>, ИДР и ИДП за инфраструктуру са спољним уређењем терена и озелењавањем и ПЗИ за све објекте Комплекса градских базена</w:t>
      </w:r>
      <w:r w:rsidR="000C2048">
        <w:rPr>
          <w:rFonts w:ascii="Arial" w:eastAsia="Times New Roman" w:hAnsi="Arial" w:cs="Arial"/>
          <w:lang w:val="sr-Cyrl-CS"/>
        </w:rPr>
        <w:t>)</w:t>
      </w:r>
    </w:p>
    <w:p w:rsidR="00C270BF" w:rsidRPr="000B6766" w:rsidRDefault="00FE4F08">
      <w:pPr>
        <w:overflowPunct w:val="0"/>
        <w:autoSpaceDE w:val="0"/>
        <w:autoSpaceDN w:val="0"/>
        <w:adjustRightInd w:val="0"/>
        <w:spacing w:after="120" w:line="300" w:lineRule="atLeast"/>
        <w:ind w:left="851" w:right="284"/>
        <w:jc w:val="both"/>
        <w:textAlignment w:val="baseline"/>
        <w:rPr>
          <w:rFonts w:ascii="Arial" w:eastAsia="Times New Roman" w:hAnsi="Arial" w:cs="Arial"/>
          <w:color w:val="000080"/>
        </w:rPr>
      </w:pPr>
      <w:r w:rsidRPr="000B6766">
        <w:rPr>
          <w:rFonts w:ascii="Arial" w:eastAsia="Times New Roman" w:hAnsi="Arial" w:cs="Arial"/>
          <w:b/>
        </w:rPr>
        <w:t>УВОД</w:t>
      </w:r>
    </w:p>
    <w:p w:rsidR="00C270BF" w:rsidRPr="000B6766" w:rsidRDefault="00FE4F08">
      <w:pPr>
        <w:overflowPunct w:val="0"/>
        <w:autoSpaceDE w:val="0"/>
        <w:autoSpaceDN w:val="0"/>
        <w:adjustRightInd w:val="0"/>
        <w:spacing w:after="120" w:line="300" w:lineRule="atLeast"/>
        <w:ind w:right="284"/>
        <w:jc w:val="both"/>
        <w:textAlignment w:val="baseline"/>
        <w:rPr>
          <w:rFonts w:ascii="Arial" w:eastAsia="Times New Roman" w:hAnsi="Arial" w:cs="Arial"/>
        </w:rPr>
      </w:pPr>
      <w:proofErr w:type="gramStart"/>
      <w:r w:rsidRPr="000B6766">
        <w:rPr>
          <w:rFonts w:ascii="Arial" w:eastAsia="Times New Roman" w:hAnsi="Arial" w:cs="Arial"/>
        </w:rPr>
        <w:t>За</w:t>
      </w:r>
      <w:r w:rsidR="004A192C">
        <w:rPr>
          <w:rFonts w:ascii="Arial" w:eastAsia="Times New Roman" w:hAnsi="Arial" w:cs="Arial"/>
        </w:rPr>
        <w:t xml:space="preserve"> потребе “</w:t>
      </w:r>
      <w:r w:rsidR="004A192C">
        <w:rPr>
          <w:rFonts w:ascii="Arial" w:eastAsia="Times New Roman" w:hAnsi="Arial" w:cs="Arial"/>
          <w:lang w:val="sr-Cyrl-CS"/>
        </w:rPr>
        <w:t>Комплекса градских базена</w:t>
      </w:r>
      <w:r w:rsidRPr="000B6766">
        <w:rPr>
          <w:rFonts w:ascii="Arial" w:eastAsia="Times New Roman" w:hAnsi="Arial" w:cs="Arial"/>
        </w:rPr>
        <w:t>” у Кладову, потребно је израдити пројектно техничку документацију за фазу пројекта за дозволу и пројекта за извођење.</w:t>
      </w:r>
      <w:proofErr w:type="gramEnd"/>
      <w:r w:rsidRPr="000B6766">
        <w:rPr>
          <w:rFonts w:ascii="Arial" w:eastAsia="Times New Roman" w:hAnsi="Arial" w:cs="Arial"/>
        </w:rPr>
        <w:t xml:space="preserve"> Како је већ урађен пројекат за грађевинску </w:t>
      </w:r>
      <w:proofErr w:type="gramStart"/>
      <w:r w:rsidRPr="000B6766">
        <w:rPr>
          <w:rFonts w:ascii="Arial" w:eastAsia="Times New Roman" w:hAnsi="Arial" w:cs="Arial"/>
        </w:rPr>
        <w:t>дозволу ,</w:t>
      </w:r>
      <w:proofErr w:type="gramEnd"/>
      <w:r w:rsidRPr="000B6766">
        <w:rPr>
          <w:rFonts w:ascii="Arial" w:eastAsia="Times New Roman" w:hAnsi="Arial" w:cs="Arial"/>
        </w:rPr>
        <w:t xml:space="preserve"> овим тендером се дефинише </w:t>
      </w:r>
      <w:r w:rsidRPr="000C2048">
        <w:rPr>
          <w:rFonts w:ascii="Arial" w:eastAsia="Times New Roman" w:hAnsi="Arial" w:cs="Arial"/>
          <w:b/>
        </w:rPr>
        <w:t>измена  пројекта за грађевинску дозволу, и то за фазе пгд-а :  08 Свлачионица са машинском салом и 10 Базени, Идејно решење за пројекат инфраструктуре са спољним уређењем терена и озелењавањем, Идејни пројекат по члану 145 за пројекат спољне инфраструктуре са спољним уређењем терена и озелењавања, као и Пројекат за извођење свих фаза ПГД.</w:t>
      </w:r>
    </w:p>
    <w:p w:rsidR="00C270BF" w:rsidRPr="000B6766" w:rsidRDefault="00FE4F08">
      <w:pPr>
        <w:overflowPunct w:val="0"/>
        <w:autoSpaceDE w:val="0"/>
        <w:autoSpaceDN w:val="0"/>
        <w:adjustRightInd w:val="0"/>
        <w:spacing w:after="120" w:line="300" w:lineRule="atLeast"/>
        <w:ind w:right="284"/>
        <w:jc w:val="both"/>
        <w:textAlignment w:val="baseline"/>
        <w:rPr>
          <w:rFonts w:ascii="Arial" w:eastAsia="Times New Roman" w:hAnsi="Arial" w:cs="Arial"/>
        </w:rPr>
      </w:pPr>
      <w:proofErr w:type="gramStart"/>
      <w:r w:rsidRPr="000B6766">
        <w:rPr>
          <w:rFonts w:ascii="Arial" w:eastAsia="Times New Roman" w:hAnsi="Arial" w:cs="Arial"/>
        </w:rPr>
        <w:t>Претходним пројектом за грађевинску дозволу је дефинисано да се цео пројекат изводи фазно због чега је подељен у 13 фаза.</w:t>
      </w:r>
      <w:proofErr w:type="gramEnd"/>
    </w:p>
    <w:p w:rsidR="00C270BF" w:rsidRPr="000B6766" w:rsidRDefault="00FE4F08">
      <w:pPr>
        <w:overflowPunct w:val="0"/>
        <w:autoSpaceDE w:val="0"/>
        <w:autoSpaceDN w:val="0"/>
        <w:adjustRightInd w:val="0"/>
        <w:spacing w:after="120" w:line="300" w:lineRule="atLeast"/>
        <w:ind w:right="284"/>
        <w:jc w:val="both"/>
        <w:textAlignment w:val="baseline"/>
        <w:rPr>
          <w:rFonts w:ascii="Arial" w:eastAsia="Times New Roman" w:hAnsi="Arial" w:cs="Arial"/>
        </w:rPr>
      </w:pPr>
      <w:r w:rsidRPr="000B6766">
        <w:rPr>
          <w:rFonts w:ascii="Arial" w:eastAsia="Times New Roman" w:hAnsi="Arial" w:cs="Arial"/>
        </w:rPr>
        <w:t xml:space="preserve">Фазе пројекта за грађевиснку дозволу </w:t>
      </w:r>
      <w:proofErr w:type="gramStart"/>
      <w:r w:rsidRPr="000B6766">
        <w:rPr>
          <w:rFonts w:ascii="Arial" w:eastAsia="Times New Roman" w:hAnsi="Arial" w:cs="Arial"/>
        </w:rPr>
        <w:t>су :</w:t>
      </w:r>
      <w:proofErr w:type="gramEnd"/>
    </w:p>
    <w:p w:rsidR="00C270BF" w:rsidRPr="000B6766" w:rsidRDefault="00FE4F08">
      <w:pPr>
        <w:overflowPunct w:val="0"/>
        <w:autoSpaceDE w:val="0"/>
        <w:autoSpaceDN w:val="0"/>
        <w:adjustRightInd w:val="0"/>
        <w:spacing w:after="120" w:line="300" w:lineRule="atLeast"/>
        <w:ind w:right="284"/>
        <w:jc w:val="both"/>
        <w:textAlignment w:val="baseline"/>
        <w:rPr>
          <w:rFonts w:ascii="Arial" w:eastAsia="Times New Roman" w:hAnsi="Arial" w:cs="Arial"/>
        </w:rPr>
      </w:pPr>
      <w:r w:rsidRPr="000B6766">
        <w:rPr>
          <w:rFonts w:ascii="Arial" w:eastAsia="Times New Roman" w:hAnsi="Arial" w:cs="Arial"/>
        </w:rPr>
        <w:t>06 Управна зграда</w:t>
      </w:r>
    </w:p>
    <w:p w:rsidR="00C270BF" w:rsidRPr="000B6766" w:rsidRDefault="00FE4F08">
      <w:pPr>
        <w:overflowPunct w:val="0"/>
        <w:autoSpaceDE w:val="0"/>
        <w:autoSpaceDN w:val="0"/>
        <w:adjustRightInd w:val="0"/>
        <w:spacing w:after="120" w:line="300" w:lineRule="atLeast"/>
        <w:ind w:right="284"/>
        <w:jc w:val="both"/>
        <w:textAlignment w:val="baseline"/>
        <w:rPr>
          <w:rFonts w:ascii="Arial" w:eastAsia="Times New Roman" w:hAnsi="Arial" w:cs="Arial"/>
        </w:rPr>
      </w:pPr>
      <w:r w:rsidRPr="000B6766">
        <w:rPr>
          <w:rFonts w:ascii="Arial" w:eastAsia="Times New Roman" w:hAnsi="Arial" w:cs="Arial"/>
        </w:rPr>
        <w:t>07 Кафетерија</w:t>
      </w:r>
    </w:p>
    <w:p w:rsidR="00C270BF" w:rsidRPr="000B6766" w:rsidRDefault="00FE4F08">
      <w:pPr>
        <w:overflowPunct w:val="0"/>
        <w:autoSpaceDE w:val="0"/>
        <w:autoSpaceDN w:val="0"/>
        <w:adjustRightInd w:val="0"/>
        <w:spacing w:after="120" w:line="300" w:lineRule="atLeast"/>
        <w:ind w:right="284"/>
        <w:jc w:val="both"/>
        <w:textAlignment w:val="baseline"/>
        <w:rPr>
          <w:rFonts w:ascii="Arial" w:eastAsia="Times New Roman" w:hAnsi="Arial" w:cs="Arial"/>
        </w:rPr>
      </w:pPr>
      <w:r w:rsidRPr="000B6766">
        <w:rPr>
          <w:rFonts w:ascii="Arial" w:eastAsia="Times New Roman" w:hAnsi="Arial" w:cs="Arial"/>
        </w:rPr>
        <w:t>08 Свлачионице са машинском салом</w:t>
      </w:r>
    </w:p>
    <w:p w:rsidR="00C270BF" w:rsidRPr="000B6766" w:rsidRDefault="00FE4F08">
      <w:pPr>
        <w:overflowPunct w:val="0"/>
        <w:autoSpaceDE w:val="0"/>
        <w:autoSpaceDN w:val="0"/>
        <w:adjustRightInd w:val="0"/>
        <w:spacing w:after="120" w:line="300" w:lineRule="atLeast"/>
        <w:ind w:right="284"/>
        <w:jc w:val="both"/>
        <w:textAlignment w:val="baseline"/>
        <w:rPr>
          <w:rFonts w:ascii="Arial" w:eastAsia="Times New Roman" w:hAnsi="Arial" w:cs="Arial"/>
        </w:rPr>
      </w:pPr>
      <w:r w:rsidRPr="000B6766">
        <w:rPr>
          <w:rFonts w:ascii="Arial" w:eastAsia="Times New Roman" w:hAnsi="Arial" w:cs="Arial"/>
        </w:rPr>
        <w:t>09 Свлачионице са санитарним блоком</w:t>
      </w:r>
    </w:p>
    <w:p w:rsidR="00C270BF" w:rsidRPr="000B6766" w:rsidRDefault="00FE4F08">
      <w:pPr>
        <w:overflowPunct w:val="0"/>
        <w:autoSpaceDE w:val="0"/>
        <w:autoSpaceDN w:val="0"/>
        <w:adjustRightInd w:val="0"/>
        <w:spacing w:after="120" w:line="300" w:lineRule="atLeast"/>
        <w:ind w:right="284"/>
        <w:jc w:val="both"/>
        <w:textAlignment w:val="baseline"/>
        <w:rPr>
          <w:rFonts w:ascii="Arial" w:eastAsia="Times New Roman" w:hAnsi="Arial" w:cs="Arial"/>
        </w:rPr>
      </w:pPr>
      <w:r w:rsidRPr="000B6766">
        <w:rPr>
          <w:rFonts w:ascii="Arial" w:eastAsia="Times New Roman" w:hAnsi="Arial" w:cs="Arial"/>
        </w:rPr>
        <w:t>10 Базени</w:t>
      </w:r>
    </w:p>
    <w:p w:rsidR="00C270BF" w:rsidRPr="000B6766" w:rsidRDefault="00FE4F08">
      <w:pPr>
        <w:overflowPunct w:val="0"/>
        <w:autoSpaceDE w:val="0"/>
        <w:autoSpaceDN w:val="0"/>
        <w:adjustRightInd w:val="0"/>
        <w:spacing w:after="120" w:line="300" w:lineRule="atLeast"/>
        <w:ind w:right="284"/>
        <w:jc w:val="both"/>
        <w:textAlignment w:val="baseline"/>
        <w:rPr>
          <w:rFonts w:ascii="Arial" w:eastAsia="Times New Roman" w:hAnsi="Arial" w:cs="Arial"/>
        </w:rPr>
      </w:pPr>
      <w:r w:rsidRPr="000B6766">
        <w:rPr>
          <w:rFonts w:ascii="Arial" w:eastAsia="Times New Roman" w:hAnsi="Arial" w:cs="Arial"/>
        </w:rPr>
        <w:t>11 Санитарни блок 9а</w:t>
      </w:r>
    </w:p>
    <w:p w:rsidR="00C270BF" w:rsidRPr="000B6766" w:rsidRDefault="00FE4F08">
      <w:pPr>
        <w:overflowPunct w:val="0"/>
        <w:autoSpaceDE w:val="0"/>
        <w:autoSpaceDN w:val="0"/>
        <w:adjustRightInd w:val="0"/>
        <w:spacing w:after="120" w:line="300" w:lineRule="atLeast"/>
        <w:ind w:right="284"/>
        <w:jc w:val="both"/>
        <w:textAlignment w:val="baseline"/>
        <w:rPr>
          <w:rFonts w:ascii="Arial" w:eastAsia="Times New Roman" w:hAnsi="Arial" w:cs="Arial"/>
        </w:rPr>
      </w:pPr>
      <w:r w:rsidRPr="000B6766">
        <w:rPr>
          <w:rFonts w:ascii="Arial" w:eastAsia="Times New Roman" w:hAnsi="Arial" w:cs="Arial"/>
        </w:rPr>
        <w:t>12 Санитарни блок 9</w:t>
      </w:r>
    </w:p>
    <w:p w:rsidR="00C270BF" w:rsidRPr="000B6766" w:rsidRDefault="00FE4F08">
      <w:pPr>
        <w:overflowPunct w:val="0"/>
        <w:autoSpaceDE w:val="0"/>
        <w:autoSpaceDN w:val="0"/>
        <w:adjustRightInd w:val="0"/>
        <w:spacing w:after="120" w:line="300" w:lineRule="atLeast"/>
        <w:ind w:right="284"/>
        <w:jc w:val="both"/>
        <w:textAlignment w:val="baseline"/>
        <w:rPr>
          <w:rFonts w:ascii="Arial" w:eastAsia="Times New Roman" w:hAnsi="Arial" w:cs="Arial"/>
        </w:rPr>
      </w:pPr>
      <w:r w:rsidRPr="000B6766">
        <w:rPr>
          <w:rFonts w:ascii="Arial" w:eastAsia="Times New Roman" w:hAnsi="Arial" w:cs="Arial"/>
        </w:rPr>
        <w:t>13 Саобраћајнице</w:t>
      </w:r>
    </w:p>
    <w:p w:rsidR="00C270BF" w:rsidRPr="000B6766" w:rsidRDefault="00FE4F08">
      <w:pPr>
        <w:overflowPunct w:val="0"/>
        <w:autoSpaceDE w:val="0"/>
        <w:autoSpaceDN w:val="0"/>
        <w:adjustRightInd w:val="0"/>
        <w:spacing w:after="120" w:line="300" w:lineRule="atLeast"/>
        <w:ind w:right="284"/>
        <w:jc w:val="both"/>
        <w:textAlignment w:val="baseline"/>
        <w:rPr>
          <w:rFonts w:ascii="Arial" w:eastAsia="Times New Roman" w:hAnsi="Arial" w:cs="Arial"/>
        </w:rPr>
      </w:pPr>
      <w:r w:rsidRPr="000B6766">
        <w:rPr>
          <w:rFonts w:ascii="Arial" w:eastAsia="Times New Roman" w:hAnsi="Arial" w:cs="Arial"/>
        </w:rPr>
        <w:t>14 Инфо пулт са наплатом возила</w:t>
      </w:r>
    </w:p>
    <w:p w:rsidR="00C270BF" w:rsidRPr="000B6766" w:rsidRDefault="00FE4F08">
      <w:pPr>
        <w:overflowPunct w:val="0"/>
        <w:autoSpaceDE w:val="0"/>
        <w:autoSpaceDN w:val="0"/>
        <w:adjustRightInd w:val="0"/>
        <w:spacing w:after="120" w:line="300" w:lineRule="atLeast"/>
        <w:ind w:right="284"/>
        <w:jc w:val="both"/>
        <w:textAlignment w:val="baseline"/>
        <w:rPr>
          <w:rFonts w:ascii="Arial" w:eastAsia="Times New Roman" w:hAnsi="Arial" w:cs="Arial"/>
        </w:rPr>
      </w:pPr>
      <w:r w:rsidRPr="000B6766">
        <w:rPr>
          <w:rFonts w:ascii="Arial" w:eastAsia="Times New Roman" w:hAnsi="Arial" w:cs="Arial"/>
        </w:rPr>
        <w:t>15 Инфо пулт са наплатом за пешаке</w:t>
      </w:r>
    </w:p>
    <w:p w:rsidR="00C270BF" w:rsidRPr="000B6766" w:rsidRDefault="00FE4F08">
      <w:pPr>
        <w:overflowPunct w:val="0"/>
        <w:autoSpaceDE w:val="0"/>
        <w:autoSpaceDN w:val="0"/>
        <w:adjustRightInd w:val="0"/>
        <w:spacing w:after="120" w:line="300" w:lineRule="atLeast"/>
        <w:ind w:right="284"/>
        <w:jc w:val="both"/>
        <w:textAlignment w:val="baseline"/>
        <w:rPr>
          <w:rFonts w:ascii="Arial" w:eastAsia="Times New Roman" w:hAnsi="Arial" w:cs="Arial"/>
        </w:rPr>
      </w:pPr>
      <w:r w:rsidRPr="000B6766">
        <w:rPr>
          <w:rFonts w:ascii="Arial" w:eastAsia="Times New Roman" w:hAnsi="Arial" w:cs="Arial"/>
        </w:rPr>
        <w:t>16 Инфо пулт и обезбеђење пешака</w:t>
      </w:r>
    </w:p>
    <w:p w:rsidR="00C270BF" w:rsidRPr="000B6766" w:rsidRDefault="00FE4F08">
      <w:pPr>
        <w:overflowPunct w:val="0"/>
        <w:autoSpaceDE w:val="0"/>
        <w:autoSpaceDN w:val="0"/>
        <w:adjustRightInd w:val="0"/>
        <w:spacing w:after="120" w:line="300" w:lineRule="atLeast"/>
        <w:ind w:right="284"/>
        <w:jc w:val="both"/>
        <w:textAlignment w:val="baseline"/>
        <w:rPr>
          <w:rFonts w:ascii="Arial" w:eastAsia="Times New Roman" w:hAnsi="Arial" w:cs="Arial"/>
        </w:rPr>
      </w:pPr>
      <w:r w:rsidRPr="000B6766">
        <w:rPr>
          <w:rFonts w:ascii="Arial" w:eastAsia="Times New Roman" w:hAnsi="Arial" w:cs="Arial"/>
        </w:rPr>
        <w:t>17 Просторија за спасиоца 1</w:t>
      </w:r>
    </w:p>
    <w:p w:rsidR="00C270BF" w:rsidRPr="000B6766" w:rsidRDefault="00FE4F08">
      <w:pPr>
        <w:overflowPunct w:val="0"/>
        <w:autoSpaceDE w:val="0"/>
        <w:autoSpaceDN w:val="0"/>
        <w:adjustRightInd w:val="0"/>
        <w:spacing w:after="120" w:line="300" w:lineRule="atLeast"/>
        <w:ind w:right="284"/>
        <w:jc w:val="both"/>
        <w:textAlignment w:val="baseline"/>
        <w:rPr>
          <w:rFonts w:ascii="Arial" w:eastAsia="Times New Roman" w:hAnsi="Arial" w:cs="Arial"/>
        </w:rPr>
      </w:pPr>
      <w:r w:rsidRPr="000B6766">
        <w:rPr>
          <w:rFonts w:ascii="Arial" w:eastAsia="Times New Roman" w:hAnsi="Arial" w:cs="Arial"/>
        </w:rPr>
        <w:t>18 Просторија за спасиоца 2</w:t>
      </w:r>
    </w:p>
    <w:p w:rsidR="00C270BF" w:rsidRPr="000B6766" w:rsidRDefault="00C270BF">
      <w:pPr>
        <w:overflowPunct w:val="0"/>
        <w:autoSpaceDE w:val="0"/>
        <w:autoSpaceDN w:val="0"/>
        <w:adjustRightInd w:val="0"/>
        <w:spacing w:after="120" w:line="300" w:lineRule="atLeast"/>
        <w:ind w:right="284"/>
        <w:jc w:val="both"/>
        <w:textAlignment w:val="baseline"/>
        <w:rPr>
          <w:rFonts w:ascii="Arial" w:eastAsia="Times New Roman" w:hAnsi="Arial" w:cs="Arial"/>
        </w:rPr>
      </w:pPr>
    </w:p>
    <w:p w:rsidR="00C270BF" w:rsidRPr="000B6766" w:rsidRDefault="00FE4F08">
      <w:pPr>
        <w:overflowPunct w:val="0"/>
        <w:autoSpaceDE w:val="0"/>
        <w:autoSpaceDN w:val="0"/>
        <w:adjustRightInd w:val="0"/>
        <w:spacing w:after="120" w:line="276" w:lineRule="auto"/>
        <w:ind w:right="-1"/>
        <w:jc w:val="both"/>
        <w:textAlignment w:val="baseline"/>
        <w:rPr>
          <w:rFonts w:ascii="Arial" w:eastAsia="Times New Roman" w:hAnsi="Arial" w:cs="Arial"/>
        </w:rPr>
      </w:pPr>
      <w:r w:rsidRPr="000B6766">
        <w:rPr>
          <w:rFonts w:ascii="Arial" w:eastAsia="Times New Roman" w:hAnsi="Arial" w:cs="Arial"/>
        </w:rPr>
        <w:lastRenderedPageBreak/>
        <w:tab/>
      </w:r>
    </w:p>
    <w:p w:rsidR="00C270BF" w:rsidRPr="000B6766" w:rsidRDefault="00C270BF">
      <w:pPr>
        <w:overflowPunct w:val="0"/>
        <w:autoSpaceDE w:val="0"/>
        <w:autoSpaceDN w:val="0"/>
        <w:adjustRightInd w:val="0"/>
        <w:spacing w:after="120" w:line="276" w:lineRule="auto"/>
        <w:ind w:right="-1"/>
        <w:jc w:val="both"/>
        <w:textAlignment w:val="baseline"/>
        <w:rPr>
          <w:rFonts w:ascii="Arial" w:eastAsia="Times New Roman" w:hAnsi="Arial" w:cs="Arial"/>
        </w:rPr>
      </w:pPr>
    </w:p>
    <w:p w:rsidR="00C270BF" w:rsidRPr="000B6766" w:rsidRDefault="00FE4F08">
      <w:pPr>
        <w:overflowPunct w:val="0"/>
        <w:autoSpaceDE w:val="0"/>
        <w:autoSpaceDN w:val="0"/>
        <w:adjustRightInd w:val="0"/>
        <w:spacing w:after="120" w:line="276" w:lineRule="auto"/>
        <w:ind w:right="-1"/>
        <w:jc w:val="both"/>
        <w:textAlignment w:val="baseline"/>
        <w:rPr>
          <w:rFonts w:ascii="Arial" w:eastAsia="Times New Roman" w:hAnsi="Arial" w:cs="Arial"/>
          <w:bCs/>
          <w:lang w:val="sr-Latn-CS"/>
        </w:rPr>
      </w:pPr>
      <w:r w:rsidRPr="000B6766">
        <w:rPr>
          <w:rFonts w:ascii="Arial" w:eastAsia="Times New Roman" w:hAnsi="Arial" w:cs="Arial"/>
          <w:b/>
          <w:bCs/>
        </w:rPr>
        <w:t>ЗАДАТАК И САДРЖАЈ ПРОЈЕКТА</w:t>
      </w:r>
    </w:p>
    <w:p w:rsidR="00C270BF" w:rsidRPr="000B6766" w:rsidRDefault="00FE4F08">
      <w:pPr>
        <w:overflowPunct w:val="0"/>
        <w:autoSpaceDE w:val="0"/>
        <w:autoSpaceDN w:val="0"/>
        <w:adjustRightInd w:val="0"/>
        <w:spacing w:after="120" w:line="276" w:lineRule="auto"/>
        <w:ind w:right="-1"/>
        <w:jc w:val="both"/>
        <w:textAlignment w:val="baseline"/>
        <w:rPr>
          <w:rFonts w:ascii="Arial" w:eastAsia="Times New Roman" w:hAnsi="Arial" w:cs="Arial"/>
        </w:rPr>
      </w:pPr>
      <w:proofErr w:type="gramStart"/>
      <w:r w:rsidRPr="000B6766">
        <w:rPr>
          <w:rFonts w:ascii="Arial" w:eastAsia="Times New Roman" w:hAnsi="Arial" w:cs="Arial"/>
        </w:rPr>
        <w:t>Овим пројектним задатком се предвиђа израда прјектно техничке документације измене и допуне пројекта за грађевинску дозволу, идејно решење, пројекат за извођење по члану 145, и пројекат за извођење свих фаза пројекта.</w:t>
      </w:r>
      <w:proofErr w:type="gramEnd"/>
      <w:r w:rsidRPr="000B6766">
        <w:rPr>
          <w:rFonts w:ascii="Arial" w:eastAsia="Times New Roman" w:hAnsi="Arial" w:cs="Arial"/>
        </w:rPr>
        <w:t xml:space="preserve"> </w:t>
      </w:r>
    </w:p>
    <w:p w:rsidR="00C270BF" w:rsidRPr="000B6766" w:rsidRDefault="00FE4F08">
      <w:pPr>
        <w:numPr>
          <w:ilvl w:val="0"/>
          <w:numId w:val="1"/>
        </w:numPr>
        <w:overflowPunct w:val="0"/>
        <w:autoSpaceDE w:val="0"/>
        <w:autoSpaceDN w:val="0"/>
        <w:adjustRightInd w:val="0"/>
        <w:spacing w:after="120" w:line="276" w:lineRule="auto"/>
        <w:ind w:right="-1"/>
        <w:jc w:val="both"/>
        <w:textAlignment w:val="baseline"/>
        <w:rPr>
          <w:rFonts w:ascii="Arial" w:eastAsia="Times New Roman" w:hAnsi="Arial" w:cs="Arial"/>
          <w:lang w:val="sr-Latn-CS"/>
        </w:rPr>
      </w:pPr>
      <w:r w:rsidRPr="000B6766">
        <w:rPr>
          <w:rFonts w:ascii="Arial" w:eastAsia="Times New Roman" w:hAnsi="Arial" w:cs="Arial"/>
          <w:b/>
          <w:bCs/>
        </w:rPr>
        <w:t>Измена пројекта за грађевиснку дозволу</w:t>
      </w:r>
      <w:r w:rsidRPr="000B6766">
        <w:rPr>
          <w:rFonts w:ascii="Arial" w:eastAsia="Times New Roman" w:hAnsi="Arial" w:cs="Arial"/>
        </w:rPr>
        <w:t xml:space="preserve"> се односи на свеске </w:t>
      </w:r>
      <w:r w:rsidRPr="000B6766">
        <w:rPr>
          <w:rFonts w:ascii="Arial" w:eastAsia="Times New Roman" w:hAnsi="Arial" w:cs="Arial"/>
          <w:b/>
          <w:bCs/>
        </w:rPr>
        <w:t>08 Свлачионица са машинском салом</w:t>
      </w:r>
      <w:r w:rsidRPr="000B6766">
        <w:rPr>
          <w:rFonts w:ascii="Arial" w:eastAsia="Times New Roman" w:hAnsi="Arial" w:cs="Arial"/>
        </w:rPr>
        <w:t xml:space="preserve"> и </w:t>
      </w:r>
      <w:r w:rsidRPr="000B6766">
        <w:rPr>
          <w:rFonts w:ascii="Arial" w:eastAsia="Times New Roman" w:hAnsi="Arial" w:cs="Arial"/>
          <w:b/>
          <w:bCs/>
        </w:rPr>
        <w:t>10 базени</w:t>
      </w:r>
      <w:r w:rsidRPr="000B6766">
        <w:rPr>
          <w:rFonts w:ascii="Arial" w:eastAsia="Times New Roman" w:hAnsi="Arial" w:cs="Arial"/>
        </w:rPr>
        <w:t xml:space="preserve">. Измене су унутар објекта и у подземним етажама тако да не утичу на измену урбанистичких параметара. Због не функционалног решења, које није у складу са важећим прописима и стандардима за ову врсту објеката, потребно је изменити и детаљније разрадити пројекат хидромашинских инсталација, заједно са пратећим инсталацијама, и архитектонско - грађевинским радовима. Измене у делу архитектонско-грађевинских радова се односе на повећање подземне етаже и усклађивање са другим инсталацијама, према изменама у хидромашинским инсталацијама, и то за диспозицију машинских сала и компензација. Позиција машинске сале и компензације је према пројекту базенске технике, а испод плаже базена и у непосредној близини истих.  Хидромашинским инсталацијама треба </w:t>
      </w:r>
      <w:r w:rsidRPr="000B6766">
        <w:rPr>
          <w:rFonts w:ascii="Arial" w:eastAsia="Times New Roman" w:hAnsi="Arial" w:cs="Arial"/>
          <w:lang w:val="sr-Latn-CS"/>
        </w:rPr>
        <w:t xml:space="preserve"> </w:t>
      </w:r>
      <w:r w:rsidRPr="000B6766">
        <w:rPr>
          <w:rFonts w:ascii="Arial" w:eastAsia="Times New Roman" w:hAnsi="Arial" w:cs="Arial"/>
        </w:rPr>
        <w:t>предвидети следеће :</w:t>
      </w:r>
    </w:p>
    <w:p w:rsidR="00C270BF" w:rsidRPr="000B6766" w:rsidRDefault="00FE4F08">
      <w:pPr>
        <w:numPr>
          <w:ilvl w:val="1"/>
          <w:numId w:val="1"/>
        </w:numPr>
        <w:overflowPunct w:val="0"/>
        <w:autoSpaceDE w:val="0"/>
        <w:autoSpaceDN w:val="0"/>
        <w:adjustRightInd w:val="0"/>
        <w:spacing w:after="120" w:line="276" w:lineRule="auto"/>
        <w:ind w:right="-1"/>
        <w:jc w:val="both"/>
        <w:textAlignment w:val="baseline"/>
        <w:rPr>
          <w:rFonts w:ascii="Arial" w:eastAsia="Times New Roman" w:hAnsi="Arial" w:cs="Arial"/>
          <w:lang w:val="sr-Latn-CS"/>
        </w:rPr>
      </w:pPr>
      <w:r w:rsidRPr="000B6766">
        <w:rPr>
          <w:rFonts w:ascii="Arial" w:hAnsi="Arial" w:cs="Arial"/>
          <w:color w:val="000000"/>
        </w:rPr>
        <w:t xml:space="preserve">Циркулационе пумпе пројектовати ливеногусане у вертилкалној изведби са интегрисаним предфилтером и </w:t>
      </w:r>
      <w:r w:rsidRPr="000B6766">
        <w:rPr>
          <w:rFonts w:ascii="Arial" w:hAnsi="Arial" w:cs="Arial"/>
          <w:lang w:val="sr-Latn-CS"/>
        </w:rPr>
        <w:t>PHC</w:t>
      </w:r>
      <w:r w:rsidRPr="000B6766">
        <w:rPr>
          <w:rFonts w:ascii="Arial" w:hAnsi="Arial" w:cs="Arial"/>
          <w:color w:val="000000"/>
        </w:rPr>
        <w:t xml:space="preserve"> заштитом. Пумпе да буду у складу са  DIN</w:t>
      </w:r>
      <w:r w:rsidRPr="000B6766">
        <w:rPr>
          <w:rFonts w:ascii="Arial" w:hAnsi="Arial" w:cs="Arial"/>
          <w:lang w:val="sr-Latn-CS"/>
        </w:rPr>
        <w:t xml:space="preserve"> EN ISO</w:t>
      </w:r>
      <w:r w:rsidRPr="000B6766">
        <w:rPr>
          <w:rFonts w:ascii="Arial" w:hAnsi="Arial" w:cs="Arial"/>
          <w:color w:val="000000"/>
        </w:rPr>
        <w:t xml:space="preserve"> 9906 класа 2 и отпорне на хлорид до концентрације 1000 </w:t>
      </w:r>
      <w:r w:rsidRPr="000B6766">
        <w:rPr>
          <w:rFonts w:ascii="Arial" w:hAnsi="Arial" w:cs="Arial"/>
          <w:lang w:val="sr-Latn-CS"/>
        </w:rPr>
        <w:t>mg/l</w:t>
      </w:r>
      <w:r w:rsidRPr="000B6766">
        <w:rPr>
          <w:rFonts w:ascii="Arial" w:hAnsi="Arial" w:cs="Arial"/>
          <w:color w:val="000000"/>
        </w:rPr>
        <w:t xml:space="preserve">. Типа </w:t>
      </w:r>
      <w:r w:rsidRPr="000B6766">
        <w:rPr>
          <w:rFonts w:ascii="Arial" w:hAnsi="Arial" w:cs="Arial"/>
          <w:lang w:val="sr-Latn-CS"/>
        </w:rPr>
        <w:t>Herborner X</w:t>
      </w:r>
      <w:r w:rsidRPr="000B6766">
        <w:rPr>
          <w:rFonts w:ascii="Arial" w:hAnsi="Arial" w:cs="Arial"/>
          <w:color w:val="000000"/>
        </w:rPr>
        <w:t xml:space="preserve"> или одговарајуће.</w:t>
      </w:r>
    </w:p>
    <w:p w:rsidR="00C270BF" w:rsidRPr="000B6766" w:rsidRDefault="00FE4F08">
      <w:pPr>
        <w:numPr>
          <w:ilvl w:val="1"/>
          <w:numId w:val="1"/>
        </w:numPr>
        <w:overflowPunct w:val="0"/>
        <w:autoSpaceDE w:val="0"/>
        <w:autoSpaceDN w:val="0"/>
        <w:adjustRightInd w:val="0"/>
        <w:spacing w:after="120" w:line="276" w:lineRule="auto"/>
        <w:ind w:right="-1"/>
        <w:jc w:val="both"/>
        <w:textAlignment w:val="baseline"/>
        <w:rPr>
          <w:rFonts w:ascii="Arial" w:eastAsia="Times New Roman" w:hAnsi="Arial" w:cs="Arial"/>
          <w:lang w:val="sr-Latn-CS"/>
        </w:rPr>
      </w:pPr>
      <w:r w:rsidRPr="000B6766">
        <w:rPr>
          <w:rFonts w:ascii="Arial" w:hAnsi="Arial" w:cs="Arial"/>
          <w:color w:val="000000"/>
        </w:rPr>
        <w:t xml:space="preserve">Филтери за пречишћавање базенских вода предвидети да су сви елементи направљени од </w:t>
      </w:r>
      <w:r w:rsidRPr="000B6766">
        <w:rPr>
          <w:rFonts w:ascii="Arial" w:hAnsi="Arial" w:cs="Arial"/>
          <w:color w:val="000000"/>
          <w:lang w:val="de-DE"/>
        </w:rPr>
        <w:t>GRP</w:t>
      </w:r>
      <w:r w:rsidRPr="000B6766">
        <w:rPr>
          <w:rFonts w:ascii="Arial" w:hAnsi="Arial" w:cs="Arial"/>
          <w:color w:val="000000"/>
        </w:rPr>
        <w:t xml:space="preserve"> по </w:t>
      </w:r>
      <w:proofErr w:type="gramStart"/>
      <w:r w:rsidRPr="000B6766">
        <w:rPr>
          <w:rFonts w:ascii="Arial" w:hAnsi="Arial" w:cs="Arial"/>
          <w:color w:val="000000"/>
        </w:rPr>
        <w:t>стандардима  DIN</w:t>
      </w:r>
      <w:proofErr w:type="gramEnd"/>
      <w:r w:rsidRPr="000B6766">
        <w:rPr>
          <w:rFonts w:ascii="Arial" w:hAnsi="Arial" w:cs="Arial"/>
          <w:color w:val="000000"/>
        </w:rPr>
        <w:t xml:space="preserve"> 19643, 19605,18820 и конструисани у складу са </w:t>
      </w:r>
      <w:r w:rsidRPr="000B6766">
        <w:rPr>
          <w:rFonts w:ascii="Arial" w:hAnsi="Arial" w:cs="Arial"/>
          <w:color w:val="000000"/>
          <w:lang w:val="sr-Latn-CS"/>
        </w:rPr>
        <w:t>AD-Merkablatt N1</w:t>
      </w:r>
      <w:r w:rsidRPr="000B6766">
        <w:rPr>
          <w:rFonts w:ascii="Arial" w:hAnsi="Arial" w:cs="Arial"/>
          <w:color w:val="000000"/>
        </w:rPr>
        <w:t xml:space="preserve"> и </w:t>
      </w:r>
      <w:r w:rsidRPr="000B6766">
        <w:rPr>
          <w:rFonts w:ascii="Arial" w:hAnsi="Arial" w:cs="Arial"/>
          <w:color w:val="000000"/>
          <w:lang w:val="sr-Latn-CS"/>
        </w:rPr>
        <w:t>BS</w:t>
      </w:r>
      <w:r w:rsidRPr="000B6766">
        <w:rPr>
          <w:rFonts w:ascii="Arial" w:hAnsi="Arial" w:cs="Arial"/>
          <w:color w:val="000000"/>
        </w:rPr>
        <w:t>. Висина филтрационе испуне 1200 мм, максимални радни притисак 2</w:t>
      </w:r>
      <w:proofErr w:type="gramStart"/>
      <w:r w:rsidRPr="000B6766">
        <w:rPr>
          <w:rFonts w:ascii="Arial" w:hAnsi="Arial" w:cs="Arial"/>
          <w:color w:val="000000"/>
        </w:rPr>
        <w:t>,5</w:t>
      </w:r>
      <w:proofErr w:type="gramEnd"/>
      <w:r w:rsidRPr="000B6766">
        <w:rPr>
          <w:rFonts w:ascii="Arial" w:hAnsi="Arial" w:cs="Arial"/>
          <w:color w:val="000000"/>
        </w:rPr>
        <w:t xml:space="preserve"> бара. Филтери морају бити са дизнама, минимално 70 ком/м2. Филтери морају бити водонепропусни, отпорни на абразију и хемикалије са унутрашњим слојем од винилестера. Филтери морају имати прикључке за улаз и излаз воде, озрачни вентил, ревизиони отвор, испуст за пражњење и отвор за пуњење филтера испуном.</w:t>
      </w:r>
    </w:p>
    <w:p w:rsidR="00C270BF" w:rsidRPr="000B6766" w:rsidRDefault="00FE4F08">
      <w:pPr>
        <w:numPr>
          <w:ilvl w:val="1"/>
          <w:numId w:val="1"/>
        </w:numPr>
        <w:overflowPunct w:val="0"/>
        <w:autoSpaceDE w:val="0"/>
        <w:autoSpaceDN w:val="0"/>
        <w:adjustRightInd w:val="0"/>
        <w:spacing w:after="120" w:line="276" w:lineRule="auto"/>
        <w:ind w:right="-1"/>
        <w:jc w:val="both"/>
        <w:textAlignment w:val="baseline"/>
        <w:rPr>
          <w:rFonts w:ascii="Arial" w:eastAsia="Times New Roman" w:hAnsi="Arial" w:cs="Arial"/>
          <w:lang w:val="sr-Latn-CS"/>
        </w:rPr>
      </w:pPr>
      <w:r w:rsidRPr="000B6766">
        <w:rPr>
          <w:rFonts w:ascii="Arial" w:hAnsi="Arial" w:cs="Arial"/>
          <w:color w:val="000000"/>
        </w:rPr>
        <w:t>Као филтерску испуну предвидети активну филтерску испуну произведену од аморфног алумино-силиката. Испуна треба да је произведена од браон и зеленог стакла који се испуни након активације и даје каталитичка својства. Испуна треба да буде таква да не дозвољава колонизацију бактерија и развој биофилма. Ради боље филтрације предвидети да је филтерска маса са негативним електричним површинским набојом честица. Типа DrydenAqua AFM или одговарајуће.</w:t>
      </w:r>
    </w:p>
    <w:p w:rsidR="00C270BF" w:rsidRPr="000B6766" w:rsidRDefault="00FE4F08">
      <w:pPr>
        <w:numPr>
          <w:ilvl w:val="1"/>
          <w:numId w:val="1"/>
        </w:numPr>
        <w:overflowPunct w:val="0"/>
        <w:autoSpaceDE w:val="0"/>
        <w:autoSpaceDN w:val="0"/>
        <w:adjustRightInd w:val="0"/>
        <w:spacing w:after="120" w:line="276" w:lineRule="auto"/>
        <w:ind w:right="-1"/>
        <w:jc w:val="both"/>
        <w:textAlignment w:val="baseline"/>
        <w:rPr>
          <w:rFonts w:ascii="Arial" w:eastAsia="Times New Roman" w:hAnsi="Arial" w:cs="Arial"/>
          <w:lang w:val="sr-Latn-CS"/>
        </w:rPr>
      </w:pPr>
      <w:r w:rsidRPr="000B6766">
        <w:rPr>
          <w:rFonts w:ascii="Arial" w:hAnsi="Arial" w:cs="Arial"/>
          <w:color w:val="000000"/>
        </w:rPr>
        <w:t>Предвидети уградњу уређаја за хлорисање воде. Електролизни уређај за производњу натријум хипохлорида из раствора NaCl на месту потрошње, капацитета минимално 1100 g/h са припадајућом опремом за аутоматски рад. Потрошња NaCl не сме бити већа од 3</w:t>
      </w:r>
      <w:proofErr w:type="gramStart"/>
      <w:r w:rsidRPr="000B6766">
        <w:rPr>
          <w:rFonts w:ascii="Arial" w:hAnsi="Arial" w:cs="Arial"/>
          <w:color w:val="000000"/>
        </w:rPr>
        <w:t>,07</w:t>
      </w:r>
      <w:proofErr w:type="gramEnd"/>
      <w:r w:rsidRPr="000B6766">
        <w:rPr>
          <w:rFonts w:ascii="Arial" w:hAnsi="Arial" w:cs="Arial"/>
          <w:color w:val="000000"/>
        </w:rPr>
        <w:t xml:space="preserve"> kg/h, потрошња електричне енергије не сме бити већа од 5,6  kW/h и потрошња воде за рад уређаја не сме бити већа од 157 l/h. Постројење мора садржати: Сатуратор соли капацитета мин. 300l; омекшивач воде; производни резервоар у вакуму као додатну заштиту за сигурност испуштања водоника у простор; сензор водоника у простору; резервоар за натријум хипохлорит 500l; вентури млазницу за повлачење сланице и меке воде; аутоматику постројења PLC за управљање системима. Типа Lutz-Jesco или одговарајуће.</w:t>
      </w:r>
    </w:p>
    <w:p w:rsidR="00C270BF" w:rsidRPr="000B6766" w:rsidRDefault="00FE4F08">
      <w:pPr>
        <w:numPr>
          <w:ilvl w:val="1"/>
          <w:numId w:val="1"/>
        </w:numPr>
        <w:overflowPunct w:val="0"/>
        <w:autoSpaceDE w:val="0"/>
        <w:autoSpaceDN w:val="0"/>
        <w:adjustRightInd w:val="0"/>
        <w:spacing w:after="120" w:line="276" w:lineRule="auto"/>
        <w:ind w:right="-1"/>
        <w:jc w:val="both"/>
        <w:textAlignment w:val="baseline"/>
        <w:rPr>
          <w:rFonts w:ascii="Arial" w:eastAsia="Times New Roman" w:hAnsi="Arial" w:cs="Arial"/>
          <w:lang w:val="sr-Latn-CS"/>
        </w:rPr>
      </w:pPr>
      <w:r w:rsidRPr="000B6766">
        <w:rPr>
          <w:rFonts w:ascii="Arial" w:hAnsi="Arial" w:cs="Arial"/>
          <w:color w:val="000000"/>
        </w:rPr>
        <w:lastRenderedPageBreak/>
        <w:t xml:space="preserve">Мернорегулациона опрема треба да буде компактна микропроцесорска опрема за мерење и контролу: слободног хлора, </w:t>
      </w:r>
      <w:proofErr w:type="gramStart"/>
      <w:r w:rsidRPr="000B6766">
        <w:rPr>
          <w:rFonts w:ascii="Arial" w:hAnsi="Arial" w:cs="Arial"/>
          <w:color w:val="000000"/>
        </w:rPr>
        <w:t>pH  фактора</w:t>
      </w:r>
      <w:proofErr w:type="gramEnd"/>
      <w:r w:rsidRPr="000B6766">
        <w:rPr>
          <w:rFonts w:ascii="Arial" w:hAnsi="Arial" w:cs="Arial"/>
          <w:color w:val="000000"/>
        </w:rPr>
        <w:t xml:space="preserve">, Редокс потенцијала и температуре у базенској води те континуирано регулисање дозирања дезинфекционог средства и средства за регулацију pH вредности. Рад уређаја мора испуњавати прописане </w:t>
      </w:r>
      <w:proofErr w:type="gramStart"/>
      <w:r w:rsidRPr="000B6766">
        <w:rPr>
          <w:rFonts w:ascii="Arial" w:hAnsi="Arial" w:cs="Arial"/>
          <w:color w:val="000000"/>
        </w:rPr>
        <w:t>услове  DIN</w:t>
      </w:r>
      <w:proofErr w:type="gramEnd"/>
      <w:r w:rsidRPr="000B6766">
        <w:rPr>
          <w:rFonts w:ascii="Arial" w:hAnsi="Arial" w:cs="Arial"/>
          <w:color w:val="000000"/>
        </w:rPr>
        <w:t xml:space="preserve"> 19643 стандардом. У сврху прегледа, одржавања и сервиса, микропроцесорска станица се треба отворити на начин сличан вратима ормара; и на тај начин остаје лако доступан. Уређај треба да има 4 мерна улаза и 4 излазна модула. Приступ Ethernet TCP/IP </w:t>
      </w:r>
      <w:proofErr w:type="gramStart"/>
      <w:r w:rsidRPr="000B6766">
        <w:rPr>
          <w:rFonts w:ascii="Arial" w:hAnsi="Arial" w:cs="Arial"/>
          <w:color w:val="000000"/>
        </w:rPr>
        <w:t>или  RS485</w:t>
      </w:r>
      <w:proofErr w:type="gramEnd"/>
      <w:r w:rsidRPr="000B6766">
        <w:rPr>
          <w:rFonts w:ascii="Arial" w:hAnsi="Arial" w:cs="Arial"/>
          <w:color w:val="000000"/>
        </w:rPr>
        <w:t xml:space="preserve"> RTU. Уређај треба да поседује пропорционално дозирање за ECO Mode. Уређај треба да поседује складиштење параметара квалитета водених мерених у последњих 30 дана са излазом у .csv формату и графиконима. Типа</w:t>
      </w:r>
      <w:r w:rsidRPr="000B6766">
        <w:rPr>
          <w:rFonts w:ascii="Arial" w:hAnsi="Arial" w:cs="Arial"/>
          <w:color w:val="000000"/>
          <w:lang w:val="de-DE"/>
        </w:rPr>
        <w:t>Lutz-Jesco, Easy Pro MC-C</w:t>
      </w:r>
      <w:r w:rsidRPr="000B6766">
        <w:rPr>
          <w:rFonts w:ascii="Arial" w:hAnsi="Arial" w:cs="Arial"/>
          <w:color w:val="000000"/>
        </w:rPr>
        <w:t xml:space="preserve"> или одговарајуће</w:t>
      </w:r>
    </w:p>
    <w:p w:rsidR="00C270BF" w:rsidRPr="000B6766" w:rsidRDefault="00FE4F08">
      <w:pPr>
        <w:numPr>
          <w:ilvl w:val="0"/>
          <w:numId w:val="1"/>
        </w:numPr>
        <w:overflowPunct w:val="0"/>
        <w:autoSpaceDE w:val="0"/>
        <w:autoSpaceDN w:val="0"/>
        <w:adjustRightInd w:val="0"/>
        <w:spacing w:after="120" w:line="276" w:lineRule="auto"/>
        <w:ind w:right="-1"/>
        <w:jc w:val="both"/>
        <w:textAlignment w:val="baseline"/>
        <w:rPr>
          <w:rFonts w:ascii="Arial" w:eastAsia="Times New Roman" w:hAnsi="Arial" w:cs="Arial"/>
          <w:lang w:val="sr-Latn-CS"/>
        </w:rPr>
      </w:pPr>
      <w:r w:rsidRPr="000B6766">
        <w:rPr>
          <w:rFonts w:ascii="Arial" w:eastAsia="Times New Roman" w:hAnsi="Arial" w:cs="Arial"/>
          <w:b/>
          <w:bCs/>
        </w:rPr>
        <w:t>Идејно решење за пројекат инфраструктуре са спољним уређењем и озелењавањем</w:t>
      </w:r>
      <w:r w:rsidRPr="000B6766">
        <w:rPr>
          <w:rFonts w:ascii="Arial" w:eastAsia="Times New Roman" w:hAnsi="Arial" w:cs="Arial"/>
        </w:rPr>
        <w:t xml:space="preserve"> потребно је израдити. </w:t>
      </w:r>
    </w:p>
    <w:p w:rsidR="00C270BF" w:rsidRPr="000B6766" w:rsidRDefault="00FE4F08">
      <w:pPr>
        <w:numPr>
          <w:ilvl w:val="1"/>
          <w:numId w:val="1"/>
        </w:numPr>
        <w:overflowPunct w:val="0"/>
        <w:autoSpaceDE w:val="0"/>
        <w:autoSpaceDN w:val="0"/>
        <w:adjustRightInd w:val="0"/>
        <w:spacing w:after="120" w:line="276" w:lineRule="auto"/>
        <w:ind w:right="-1"/>
        <w:jc w:val="both"/>
        <w:textAlignment w:val="baseline"/>
        <w:rPr>
          <w:rFonts w:ascii="Arial" w:eastAsia="Times New Roman" w:hAnsi="Arial" w:cs="Arial"/>
          <w:lang w:val="sr-Latn-CS"/>
        </w:rPr>
      </w:pPr>
      <w:r w:rsidRPr="000B6766">
        <w:rPr>
          <w:rFonts w:ascii="Arial" w:eastAsia="Times New Roman" w:hAnsi="Arial" w:cs="Arial"/>
          <w:b/>
          <w:bCs/>
        </w:rPr>
        <w:t xml:space="preserve">Пројектом спољне инфраструктуре </w:t>
      </w:r>
      <w:r w:rsidRPr="000B6766">
        <w:rPr>
          <w:rFonts w:ascii="Arial" w:eastAsia="Times New Roman" w:hAnsi="Arial" w:cs="Arial"/>
        </w:rPr>
        <w:t>обухватити прикључење свих одвојених фаза на спољну мрежу</w:t>
      </w:r>
      <w:proofErr w:type="gramStart"/>
      <w:r w:rsidRPr="000B6766">
        <w:rPr>
          <w:rFonts w:ascii="Arial" w:eastAsia="Times New Roman" w:hAnsi="Arial" w:cs="Arial"/>
        </w:rPr>
        <w:t>..</w:t>
      </w:r>
      <w:proofErr w:type="gramEnd"/>
      <w:r w:rsidRPr="000B6766">
        <w:rPr>
          <w:rFonts w:ascii="Arial" w:eastAsia="Times New Roman" w:hAnsi="Arial" w:cs="Arial"/>
        </w:rPr>
        <w:t xml:space="preserve"> Предвидети груписање инсталације у ровове и одвођење до спљних инфраструктурних приључака. Урадит синхронизацију свих инсталција, заједно са евентуалним постојећим, тако да постојеће инсталације предвидети да се изместе или адекватно обезбеде како не би сметале ново пројектованом решењу. Пројектом инфратуктуре обрадити спољно осветљење целог комплекса, као и наводњавање зелених површина. </w:t>
      </w:r>
    </w:p>
    <w:p w:rsidR="00C270BF" w:rsidRPr="000B6766" w:rsidRDefault="00FE4F08">
      <w:pPr>
        <w:numPr>
          <w:ilvl w:val="1"/>
          <w:numId w:val="1"/>
        </w:numPr>
        <w:overflowPunct w:val="0"/>
        <w:autoSpaceDE w:val="0"/>
        <w:autoSpaceDN w:val="0"/>
        <w:adjustRightInd w:val="0"/>
        <w:spacing w:after="120" w:line="276" w:lineRule="auto"/>
        <w:ind w:right="-1"/>
        <w:jc w:val="both"/>
        <w:textAlignment w:val="baseline"/>
        <w:rPr>
          <w:rFonts w:ascii="Arial" w:eastAsia="Times New Roman" w:hAnsi="Arial" w:cs="Arial"/>
          <w:lang w:val="sr-Latn-CS"/>
        </w:rPr>
      </w:pPr>
      <w:r w:rsidRPr="000B6766">
        <w:rPr>
          <w:rFonts w:ascii="Arial" w:eastAsia="Times New Roman" w:hAnsi="Arial" w:cs="Arial"/>
          <w:b/>
          <w:bCs/>
        </w:rPr>
        <w:t xml:space="preserve">Пројектом спољног уређења и озелењавања </w:t>
      </w:r>
      <w:r w:rsidRPr="000B6766">
        <w:rPr>
          <w:rFonts w:ascii="Arial" w:eastAsia="Times New Roman" w:hAnsi="Arial" w:cs="Arial"/>
        </w:rPr>
        <w:t>предвидети спољно уређење на основу пројектног задатка Инвеститора и ажурираног геодетског снимка терена, а у складу са архитектонским урбанистичким решењем. Новопројектовано решење у оквиру парцеле има за циљ да створи амбијент који одговара називима и потребама предметне локације. Композиција зеленила треба да буде у складу са наменом објекта као и савременим тенденцијама у струци. Планирати појединачну садњу и садњу у мањим групама. Користећи адекватан садни материјал, који по својим биоеколошким карактеристикама одговара предметној локацији. Све биљке морају бити расаднички одгајене, са одличним врстама уз доказ о пореклу квалитета. Садни материјал мора бити здрав, без фитопатолошких и ентомолошких оштећења. Садни материјал мора бити у потпуности испоручен у контејнерима од чврсте пластике или сличног. Такође предвидети формирање травњака травним тепихом отпорним на гажење. Пројектом обухватити и мобилијаром у целом комплексу.</w:t>
      </w:r>
    </w:p>
    <w:p w:rsidR="00C270BF" w:rsidRPr="000B6766" w:rsidRDefault="00FE4F08">
      <w:pPr>
        <w:numPr>
          <w:ilvl w:val="0"/>
          <w:numId w:val="1"/>
        </w:numPr>
        <w:overflowPunct w:val="0"/>
        <w:autoSpaceDE w:val="0"/>
        <w:autoSpaceDN w:val="0"/>
        <w:adjustRightInd w:val="0"/>
        <w:spacing w:after="120" w:line="276" w:lineRule="auto"/>
        <w:ind w:right="-1"/>
        <w:jc w:val="both"/>
        <w:textAlignment w:val="baseline"/>
        <w:rPr>
          <w:rFonts w:ascii="Arial" w:eastAsia="Times New Roman" w:hAnsi="Arial" w:cs="Arial"/>
        </w:rPr>
      </w:pPr>
      <w:r w:rsidRPr="000B6766">
        <w:rPr>
          <w:rFonts w:ascii="Arial" w:eastAsia="Times New Roman" w:hAnsi="Arial" w:cs="Arial"/>
          <w:b/>
          <w:bCs/>
        </w:rPr>
        <w:t>Идејни пројекат по члану 145</w:t>
      </w:r>
      <w:r w:rsidRPr="000B6766">
        <w:rPr>
          <w:rFonts w:ascii="Arial" w:eastAsia="Times New Roman" w:hAnsi="Arial" w:cs="Arial"/>
        </w:rPr>
        <w:t xml:space="preserve"> се односи на пројекат спољне </w:t>
      </w:r>
      <w:proofErr w:type="gramStart"/>
      <w:r w:rsidRPr="000B6766">
        <w:rPr>
          <w:rFonts w:ascii="Arial" w:eastAsia="Times New Roman" w:hAnsi="Arial" w:cs="Arial"/>
        </w:rPr>
        <w:t>инфраструктуре  и</w:t>
      </w:r>
      <w:proofErr w:type="gramEnd"/>
      <w:r w:rsidRPr="000B6766">
        <w:rPr>
          <w:rFonts w:ascii="Arial" w:eastAsia="Times New Roman" w:hAnsi="Arial" w:cs="Arial"/>
        </w:rPr>
        <w:t xml:space="preserve"> спољног уређења терена са озелењавањем за потребе извођења, пројекат урадити на основу добијене сагласности за Идејно решење из друге ставке. Израда пројектне документације је неопходна како би се кроз пројекат инфраструктуре обезбедила синхронизација свих инсталација до објеката. Пројекти за спољно уређење и озелењавање треба да обухвате све зелене површине и поплочане, и да се кроз те пројекте реши наводњавање зелених површина и одводња воде са поплочаних површина. Овим пројектима обухватити спољну расвету целог комплекса, као и мобилијар унутар комплекса.</w:t>
      </w:r>
    </w:p>
    <w:p w:rsidR="00C270BF" w:rsidRPr="000B6766" w:rsidRDefault="00FE4F08">
      <w:pPr>
        <w:numPr>
          <w:ilvl w:val="0"/>
          <w:numId w:val="1"/>
        </w:numPr>
        <w:overflowPunct w:val="0"/>
        <w:autoSpaceDE w:val="0"/>
        <w:autoSpaceDN w:val="0"/>
        <w:adjustRightInd w:val="0"/>
        <w:spacing w:after="120" w:line="300" w:lineRule="atLeast"/>
        <w:ind w:right="284"/>
        <w:jc w:val="both"/>
        <w:textAlignment w:val="baseline"/>
        <w:rPr>
          <w:rFonts w:ascii="Arial" w:eastAsia="Times New Roman" w:hAnsi="Arial" w:cs="Arial"/>
        </w:rPr>
      </w:pPr>
      <w:r w:rsidRPr="000B6766">
        <w:rPr>
          <w:rFonts w:ascii="Arial" w:eastAsia="Times New Roman" w:hAnsi="Arial" w:cs="Arial"/>
          <w:b/>
          <w:bCs/>
        </w:rPr>
        <w:t>Пројекти за извођење</w:t>
      </w:r>
      <w:r w:rsidRPr="000B6766">
        <w:rPr>
          <w:rFonts w:ascii="Arial" w:eastAsia="Times New Roman" w:hAnsi="Arial" w:cs="Arial"/>
          <w:lang w:val="sr-Latn-CS"/>
        </w:rPr>
        <w:t xml:space="preserve"> </w:t>
      </w:r>
      <w:r w:rsidRPr="000B6766">
        <w:rPr>
          <w:rFonts w:ascii="Arial" w:eastAsia="Times New Roman" w:hAnsi="Arial" w:cs="Arial"/>
        </w:rPr>
        <w:t xml:space="preserve">се раде за све фазе комплекса за које је већ урађен пројекат за грађевинску дозволу. Фазе за које се ради ПЗИ су 06 Управна зграда, 07 Кафетерија, 08 Свлачионице са машинском салом, 09 Свлачионице са санитарним </w:t>
      </w:r>
      <w:proofErr w:type="gramStart"/>
      <w:r w:rsidRPr="000B6766">
        <w:rPr>
          <w:rFonts w:ascii="Arial" w:eastAsia="Times New Roman" w:hAnsi="Arial" w:cs="Arial"/>
        </w:rPr>
        <w:t>блоком ,</w:t>
      </w:r>
      <w:proofErr w:type="gramEnd"/>
      <w:r w:rsidRPr="000B6766">
        <w:rPr>
          <w:rFonts w:ascii="Arial" w:eastAsia="Times New Roman" w:hAnsi="Arial" w:cs="Arial"/>
        </w:rPr>
        <w:t xml:space="preserve">10 Базени, 11 Санитарни блок 9а, 12 Санитарни блок 9, 13 Саобраћајнице, 14 Инфо пулт са наплатом возила, 15 Инфо пулт са наплатом за пешаке, 16 Инфо пулт и обезбеђење пешака, 17 </w:t>
      </w:r>
      <w:r w:rsidRPr="000B6766">
        <w:rPr>
          <w:rFonts w:ascii="Arial" w:eastAsia="Times New Roman" w:hAnsi="Arial" w:cs="Arial"/>
        </w:rPr>
        <w:lastRenderedPageBreak/>
        <w:t>Просторија за спасиоца 1, 18 Просторија за спасиоца 2. Пројектима за извођење разрешити све техничке детаље, дефинисати све материјале и начин уградње за исте, кроз дефинисање технологије извођења.</w:t>
      </w:r>
      <w:bookmarkStart w:id="0" w:name="_GoBack"/>
      <w:bookmarkEnd w:id="0"/>
    </w:p>
    <w:p w:rsidR="00C270BF" w:rsidRPr="000B6766" w:rsidRDefault="00C270BF">
      <w:pPr>
        <w:overflowPunct w:val="0"/>
        <w:autoSpaceDE w:val="0"/>
        <w:autoSpaceDN w:val="0"/>
        <w:adjustRightInd w:val="0"/>
        <w:spacing w:after="120" w:line="276" w:lineRule="auto"/>
        <w:ind w:right="-1"/>
        <w:jc w:val="both"/>
        <w:textAlignment w:val="baseline"/>
        <w:rPr>
          <w:rFonts w:ascii="Arial" w:eastAsia="Times New Roman" w:hAnsi="Arial" w:cs="Arial"/>
          <w:b/>
          <w:color w:val="FF0000"/>
          <w:lang w:val="sr-Latn-CS"/>
        </w:rPr>
      </w:pPr>
    </w:p>
    <w:p w:rsidR="00C270BF" w:rsidRPr="000B6766" w:rsidRDefault="00FE4F08">
      <w:pPr>
        <w:overflowPunct w:val="0"/>
        <w:autoSpaceDE w:val="0"/>
        <w:autoSpaceDN w:val="0"/>
        <w:adjustRightInd w:val="0"/>
        <w:spacing w:after="120" w:line="276" w:lineRule="auto"/>
        <w:ind w:right="-1"/>
        <w:jc w:val="both"/>
        <w:textAlignment w:val="baseline"/>
        <w:rPr>
          <w:rFonts w:ascii="Arial" w:eastAsia="Times New Roman" w:hAnsi="Arial" w:cs="Arial"/>
          <w:bCs/>
          <w:color w:val="FF0000"/>
        </w:rPr>
      </w:pPr>
      <w:r w:rsidRPr="000B6766">
        <w:rPr>
          <w:rFonts w:ascii="Arial" w:eastAsia="Times New Roman" w:hAnsi="Arial" w:cs="Arial"/>
          <w:b/>
          <w:color w:val="FF0000"/>
        </w:rPr>
        <w:tab/>
      </w:r>
      <w:r w:rsidRPr="000B6766">
        <w:rPr>
          <w:rFonts w:ascii="Arial" w:eastAsia="Times New Roman" w:hAnsi="Arial" w:cs="Arial"/>
          <w:b/>
        </w:rPr>
        <w:t>ЗАКОНСКА РЕГУЛАТИВА</w:t>
      </w:r>
    </w:p>
    <w:p w:rsidR="00C270BF" w:rsidRPr="000B6766" w:rsidRDefault="00FE4F08">
      <w:pPr>
        <w:overflowPunct w:val="0"/>
        <w:autoSpaceDE w:val="0"/>
        <w:autoSpaceDN w:val="0"/>
        <w:adjustRightInd w:val="0"/>
        <w:spacing w:before="240" w:after="120" w:line="276" w:lineRule="auto"/>
        <w:ind w:right="-1"/>
        <w:jc w:val="both"/>
        <w:textAlignment w:val="baseline"/>
        <w:rPr>
          <w:rFonts w:ascii="Arial" w:eastAsia="Times New Roman" w:hAnsi="Arial" w:cs="Arial"/>
          <w:lang w:val="sr-Latn-CS"/>
        </w:rPr>
      </w:pPr>
      <w:r w:rsidRPr="000B6766">
        <w:rPr>
          <w:rFonts w:ascii="Arial" w:eastAsia="Times New Roman" w:hAnsi="Arial" w:cs="Arial"/>
        </w:rPr>
        <w:t>Документацију у свему израдити сагласно Закону о планирању и изградњи ('Сл. гласник РС', бр. 72/2009, 81/2009 - испр., 64/2010 - одлука УС, 24/2011, 121/2012, 42/2013 - одлука УС, 50/2013 - одлука УС, 98/2013 - одлука УС, 132/2014, 145/2014, 83/2018, 31/2019, 37/2019 - др закон, 9/2020, 52/2021 и 62/2023) и правилнику о садржини , начину и поступку израде и начину вршења контроле техничке документације према класи и намени објекта ('Сл. гласник РС', бр. 96/2023), као и у складу са осталим законским прописима, стандардима, техничким нормативима и правилима струке.</w:t>
      </w:r>
    </w:p>
    <w:p w:rsidR="00C270BF" w:rsidRDefault="00C270BF">
      <w:pPr>
        <w:overflowPunct w:val="0"/>
        <w:autoSpaceDE w:val="0"/>
        <w:autoSpaceDN w:val="0"/>
        <w:adjustRightInd w:val="0"/>
        <w:spacing w:after="120" w:line="276" w:lineRule="auto"/>
        <w:ind w:right="-1"/>
        <w:jc w:val="both"/>
        <w:textAlignment w:val="baseline"/>
        <w:rPr>
          <w:rFonts w:ascii="Calibri" w:eastAsia="Times New Roman" w:hAnsi="Calibri" w:cs="Calibri"/>
          <w:sz w:val="24"/>
          <w:szCs w:val="20"/>
          <w:lang w:val="sr-Latn-CS"/>
        </w:rPr>
      </w:pPr>
    </w:p>
    <w:p w:rsidR="00C270BF" w:rsidRDefault="00C270BF">
      <w:pPr>
        <w:overflowPunct w:val="0"/>
        <w:autoSpaceDE w:val="0"/>
        <w:autoSpaceDN w:val="0"/>
        <w:adjustRightInd w:val="0"/>
        <w:spacing w:after="120" w:line="276" w:lineRule="auto"/>
        <w:ind w:right="-1"/>
        <w:jc w:val="both"/>
        <w:textAlignment w:val="baseline"/>
        <w:rPr>
          <w:rFonts w:ascii="Calibri" w:eastAsia="Times New Roman" w:hAnsi="Calibri" w:cs="Calibri"/>
          <w:sz w:val="24"/>
          <w:szCs w:val="20"/>
          <w:lang w:val="sr-Latn-CS"/>
        </w:rPr>
      </w:pPr>
    </w:p>
    <w:p w:rsidR="00C270BF" w:rsidRDefault="00C270BF">
      <w:pPr>
        <w:overflowPunct w:val="0"/>
        <w:autoSpaceDE w:val="0"/>
        <w:autoSpaceDN w:val="0"/>
        <w:adjustRightInd w:val="0"/>
        <w:spacing w:after="0" w:line="276" w:lineRule="auto"/>
        <w:ind w:right="-1"/>
        <w:jc w:val="both"/>
        <w:textAlignment w:val="baseline"/>
        <w:rPr>
          <w:rFonts w:ascii="Calibri" w:eastAsia="Times New Roman" w:hAnsi="Calibri" w:cs="Calibri"/>
          <w:sz w:val="24"/>
          <w:szCs w:val="20"/>
          <w:lang w:val="sr-Latn-CS"/>
        </w:rPr>
      </w:pPr>
    </w:p>
    <w:p w:rsidR="00C270BF" w:rsidRDefault="00C270BF"/>
    <w:sectPr w:rsidR="00C270BF" w:rsidSect="00C270BF">
      <w:headerReference w:type="default" r:id="rId7"/>
      <w:pgSz w:w="11906" w:h="16838"/>
      <w:pgMar w:top="1134" w:right="851" w:bottom="1134" w:left="1418"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0251" w:rsidRDefault="00100251">
      <w:pPr>
        <w:spacing w:line="240" w:lineRule="auto"/>
      </w:pPr>
      <w:r>
        <w:separator/>
      </w:r>
    </w:p>
  </w:endnote>
  <w:endnote w:type="continuationSeparator" w:id="0">
    <w:p w:rsidR="00100251" w:rsidRDefault="0010025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80000000" w:usb2="00000008" w:usb3="00000000" w:csb0="000001FF"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0251" w:rsidRDefault="00100251">
      <w:pPr>
        <w:spacing w:after="0"/>
      </w:pPr>
      <w:r>
        <w:separator/>
      </w:r>
    </w:p>
  </w:footnote>
  <w:footnote w:type="continuationSeparator" w:id="0">
    <w:p w:rsidR="00100251" w:rsidRDefault="00100251">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70BF" w:rsidRDefault="00C270BF">
    <w:pPr>
      <w:pStyle w:val="Header"/>
      <w:tabs>
        <w:tab w:val="center" w:pos="4535"/>
        <w:tab w:val="right" w:pos="9071"/>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6CF78"/>
    <w:multiLevelType w:val="multilevel"/>
    <w:tmpl w:val="0156CF78"/>
    <w:lvl w:ilvl="0">
      <w:start w:val="1"/>
      <w:numFmt w:val="decimal"/>
      <w:suff w:val="space"/>
      <w:lvlText w:val="%1."/>
      <w:lvlJc w:val="left"/>
    </w:lvl>
    <w:lvl w:ilvl="1">
      <w:start w:val="1"/>
      <w:numFmt w:val="lowerLetter"/>
      <w:lvlText w:val="%2)"/>
      <w:lvlJc w:val="left"/>
      <w:pPr>
        <w:tabs>
          <w:tab w:val="left" w:pos="840"/>
        </w:tabs>
        <w:ind w:left="840" w:hanging="420"/>
      </w:pPr>
      <w:rPr>
        <w:rFonts w:hint="default"/>
      </w:rPr>
    </w:lvl>
    <w:lvl w:ilvl="2">
      <w:start w:val="1"/>
      <w:numFmt w:val="lowerRoman"/>
      <w:lvlText w:val="%3."/>
      <w:lvlJc w:val="left"/>
      <w:pPr>
        <w:tabs>
          <w:tab w:val="left" w:pos="1260"/>
        </w:tabs>
        <w:ind w:left="1260" w:hanging="420"/>
      </w:pPr>
      <w:rPr>
        <w:rFonts w:hint="default"/>
      </w:rPr>
    </w:lvl>
    <w:lvl w:ilvl="3">
      <w:start w:val="1"/>
      <w:numFmt w:val="decimal"/>
      <w:lvlText w:val="%4."/>
      <w:lvlJc w:val="left"/>
      <w:pPr>
        <w:tabs>
          <w:tab w:val="left" w:pos="1680"/>
        </w:tabs>
        <w:ind w:left="1680" w:hanging="420"/>
      </w:pPr>
      <w:rPr>
        <w:rFonts w:hint="default"/>
      </w:rPr>
    </w:lvl>
    <w:lvl w:ilvl="4">
      <w:start w:val="1"/>
      <w:numFmt w:val="lowerLetter"/>
      <w:lvlText w:val="%5)"/>
      <w:lvlJc w:val="left"/>
      <w:pPr>
        <w:tabs>
          <w:tab w:val="left" w:pos="2100"/>
        </w:tabs>
        <w:ind w:left="2100" w:hanging="420"/>
      </w:pPr>
      <w:rPr>
        <w:rFonts w:hint="default"/>
      </w:rPr>
    </w:lvl>
    <w:lvl w:ilvl="5">
      <w:start w:val="1"/>
      <w:numFmt w:val="lowerRoman"/>
      <w:lvlText w:val="%6."/>
      <w:lvlJc w:val="left"/>
      <w:pPr>
        <w:tabs>
          <w:tab w:val="left" w:pos="2520"/>
        </w:tabs>
        <w:ind w:left="2520" w:hanging="420"/>
      </w:pPr>
      <w:rPr>
        <w:rFonts w:hint="default"/>
      </w:rPr>
    </w:lvl>
    <w:lvl w:ilvl="6">
      <w:start w:val="1"/>
      <w:numFmt w:val="decimal"/>
      <w:lvlText w:val="%7."/>
      <w:lvlJc w:val="left"/>
      <w:pPr>
        <w:tabs>
          <w:tab w:val="left" w:pos="2940"/>
        </w:tabs>
        <w:ind w:left="2940" w:hanging="420"/>
      </w:pPr>
      <w:rPr>
        <w:rFonts w:hint="default"/>
      </w:rPr>
    </w:lvl>
    <w:lvl w:ilvl="7">
      <w:start w:val="1"/>
      <w:numFmt w:val="lowerLetter"/>
      <w:lvlText w:val="%8)"/>
      <w:lvlJc w:val="left"/>
      <w:pPr>
        <w:tabs>
          <w:tab w:val="left" w:pos="3360"/>
        </w:tabs>
        <w:ind w:left="3360" w:hanging="420"/>
      </w:pPr>
      <w:rPr>
        <w:rFonts w:hint="default"/>
      </w:rPr>
    </w:lvl>
    <w:lvl w:ilvl="8">
      <w:start w:val="1"/>
      <w:numFmt w:val="lowerRoman"/>
      <w:lvlText w:val="%9."/>
      <w:lvlJc w:val="left"/>
      <w:pPr>
        <w:tabs>
          <w:tab w:val="left" w:pos="3780"/>
        </w:tabs>
        <w:ind w:left="3780" w:hanging="42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hyphenationZone w:val="425"/>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compat>
  <w:rsids>
    <w:rsidRoot w:val="00272D71"/>
    <w:rsid w:val="000B6766"/>
    <w:rsid w:val="000C2048"/>
    <w:rsid w:val="00100251"/>
    <w:rsid w:val="00271023"/>
    <w:rsid w:val="00272D71"/>
    <w:rsid w:val="003F598F"/>
    <w:rsid w:val="003F7AA6"/>
    <w:rsid w:val="004A192C"/>
    <w:rsid w:val="005465A5"/>
    <w:rsid w:val="00A47E88"/>
    <w:rsid w:val="00AC3B0D"/>
    <w:rsid w:val="00C270BF"/>
    <w:rsid w:val="00D02DA9"/>
    <w:rsid w:val="00ED7476"/>
    <w:rsid w:val="00FE4F08"/>
    <w:rsid w:val="059C7798"/>
    <w:rsid w:val="14182417"/>
    <w:rsid w:val="16A41B7E"/>
    <w:rsid w:val="16FF28F2"/>
    <w:rsid w:val="1BFA3900"/>
    <w:rsid w:val="44D26CC2"/>
    <w:rsid w:val="6B426960"/>
  </w:rsids>
  <m:mathPr>
    <m:mathFont m:val="Cambria Math"/>
    <m:brkBin m:val="before"/>
    <m:brkBinSub m:val="--"/>
    <m:smallFrac m:val="off"/>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sr-Latn-CS" w:eastAsia="sr-Latn-C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70BF"/>
    <w:pPr>
      <w:spacing w:after="160" w:line="259" w:lineRule="auto"/>
    </w:pPr>
    <w:rPr>
      <w:rFonts w:asciiTheme="minorHAnsi" w:eastAsiaTheme="minorHAnsi" w:hAnsiTheme="minorHAnsi" w:cstheme="minorBidi"/>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qFormat/>
    <w:rsid w:val="00C270B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qFormat/>
    <w:rsid w:val="00C270BF"/>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4</Pages>
  <Words>1326</Words>
  <Characters>7559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JP Kladovo</Company>
  <LinksUpToDate>false</LinksUpToDate>
  <CharactersWithSpaces>8868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Goca</dc:creator>
  <cp:lastModifiedBy>PC</cp:lastModifiedBy>
  <cp:revision>4</cp:revision>
  <dcterms:created xsi:type="dcterms:W3CDTF">2023-11-10T10:27:00Z</dcterms:created>
  <dcterms:modified xsi:type="dcterms:W3CDTF">2023-11-15T13:00:00Z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1033-12.2.0.13279</vt:lpwstr>
  </property>
  <property fmtid="{D5CDD505-2E9C-101B-9397-08002B2CF9AE}" pid="3" name="ICV">
    <vt:lpwstr>DA8E3A1EECB8404399527FF7AF725DDA_12</vt:lpwstr>
  </property>
</Properties>
</file>